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B3DE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6"/>
          <w:szCs w:val="36"/>
          <w:lang w:val="en-US" w:eastAsia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lang w:val="en-US" w:eastAsia="zh-CN"/>
        </w:rPr>
        <w:t>报价单</w:t>
      </w:r>
      <w:bookmarkStart w:id="0" w:name="_GoBack"/>
      <w:bookmarkEnd w:id="0"/>
    </w:p>
    <w:p w14:paraId="3544DC58">
      <w:pPr>
        <w:pStyle w:val="3"/>
        <w:numPr>
          <w:ilvl w:val="0"/>
          <w:numId w:val="0"/>
        </w:numPr>
        <w:spacing w:before="92" w:line="220" w:lineRule="auto"/>
        <w:jc w:val="both"/>
        <w:outlineLvl w:val="0"/>
        <w:rPr>
          <w:rFonts w:hint="eastAsia" w:ascii="宋体" w:hAnsi="宋体" w:eastAsia="宋体" w:cs="宋体"/>
          <w:sz w:val="44"/>
          <w:szCs w:val="44"/>
        </w:rPr>
      </w:pPr>
    </w:p>
    <w:p w14:paraId="41BFA6F8">
      <w:pPr>
        <w:pStyle w:val="3"/>
        <w:numPr>
          <w:ilvl w:val="0"/>
          <w:numId w:val="0"/>
        </w:numPr>
        <w:spacing w:before="92" w:line="220" w:lineRule="auto"/>
        <w:jc w:val="both"/>
        <w:outlineLvl w:val="0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4"/>
        <w:tblW w:w="4971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1"/>
        <w:gridCol w:w="2248"/>
        <w:gridCol w:w="617"/>
        <w:gridCol w:w="1769"/>
        <w:gridCol w:w="1588"/>
        <w:gridCol w:w="1515"/>
      </w:tblGrid>
      <w:tr w14:paraId="331F3D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BE7BA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0F911D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2ABE54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10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BBA204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人员工资（元）</w:t>
            </w:r>
          </w:p>
        </w:tc>
        <w:tc>
          <w:tcPr>
            <w:tcW w:w="9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BB1D78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服务费率</w:t>
            </w:r>
          </w:p>
        </w:tc>
        <w:tc>
          <w:tcPr>
            <w:tcW w:w="9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2E640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服务地点</w:t>
            </w:r>
          </w:p>
        </w:tc>
      </w:tr>
      <w:tr w14:paraId="3AAEE1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3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F1CC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35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932006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37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1BEE3C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0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F1D02A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以实际发生额为准</w:t>
            </w:r>
          </w:p>
        </w:tc>
        <w:tc>
          <w:tcPr>
            <w:tcW w:w="95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3513B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9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1258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B113F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519A0D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</w:tbl>
    <w:p w14:paraId="792367B0"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</w:pPr>
    </w:p>
    <w:p w14:paraId="229FD1D9"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  <w:t>注:1.报价为劳务派遣服务费，要求出具增值税普通发票，金额包含派遣员工工资（成交供应商代收代付）+劳务派遣服务费。合同价格实行全年统一价。</w:t>
      </w:r>
    </w:p>
    <w:p w14:paraId="3B363AC3"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hAnsi="宋体" w:eastAsia="仿宋_GB2312" w:cs="Arial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报价应包含与本项目有关的全部费用。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 xml:space="preserve"> </w:t>
      </w:r>
    </w:p>
    <w:p w14:paraId="2B31DD36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6728F2EB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7BCFA45C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7A255344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6038654B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65C9C738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3FB08D73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63300823">
      <w:pPr>
        <w:pStyle w:val="2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28A66441">
      <w:pPr>
        <w:pStyle w:val="2"/>
        <w:tabs>
          <w:tab w:val="left" w:pos="7580"/>
        </w:tabs>
        <w:ind w:firstLine="241" w:firstLineChars="100"/>
        <w:rPr>
          <w:rFonts w:hint="eastAsia" w:ascii="仿宋_GB2312" w:hAnsi="宋体" w:eastAsia="仿宋_GB2312" w:cs="Arial"/>
          <w:b/>
          <w:bCs/>
          <w:color w:val="000000"/>
        </w:rPr>
      </w:pPr>
    </w:p>
    <w:p w14:paraId="356017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10882"/>
    <w:rsid w:val="61F966BB"/>
    <w:rsid w:val="6CB10882"/>
    <w:rsid w:val="746A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9</TotalTime>
  <ScaleCrop>false</ScaleCrop>
  <LinksUpToDate>false</LinksUpToDate>
  <CharactersWithSpaces>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2025-07-02T03:42:00Z</dcterms:created>
  <dc:creator>WPS_1533275664</dc:creator>
  <cp:lastModifiedBy>WPS_1533275664</cp:lastModifiedBy>
  <dcterms:modified xsi:type="dcterms:W3CDTF">2025-07-02T06:53:14Z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AE27916CFCF24A73A9F3D596D3384E74_11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